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42752630"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w:t>
      </w:r>
      <w:r w:rsidR="000336A6">
        <w:rPr>
          <w:rFonts w:ascii="Garamond" w:hAnsi="Garamond" w:cs="Arial"/>
          <w:b/>
          <w:bCs/>
          <w:sz w:val="28"/>
          <w:szCs w:val="28"/>
        </w:rPr>
        <w:t>2</w:t>
      </w:r>
      <w:r>
        <w:rPr>
          <w:rFonts w:ascii="Garamond" w:hAnsi="Garamond" w:cs="Arial"/>
          <w:b/>
          <w:bCs/>
          <w:sz w:val="28"/>
          <w:szCs w:val="28"/>
        </w:rPr>
        <w:t>-2021“</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71139B0C"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21V00000</w:t>
      </w:r>
      <w:r w:rsidR="009D35A1" w:rsidRPr="009D35A1">
        <w:rPr>
          <w:rFonts w:ascii="Garamond" w:hAnsi="Garamond" w:cs="Palatino Linotype"/>
          <w:color w:val="000000"/>
          <w:sz w:val="20"/>
          <w:szCs w:val="20"/>
        </w:rPr>
        <w:t>3</w:t>
      </w:r>
      <w:r w:rsidR="000336A6">
        <w:rPr>
          <w:rFonts w:ascii="Garamond" w:hAnsi="Garamond" w:cs="Palatino Linotype"/>
          <w:color w:val="000000"/>
          <w:sz w:val="20"/>
          <w:szCs w:val="20"/>
        </w:rPr>
        <w:t>95</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DOPL</w:t>
      </w:r>
      <w:bookmarkStart w:id="0" w:name="_GoBack"/>
      <w:bookmarkEnd w:id="0"/>
      <w:r w:rsidR="00AD00F6" w:rsidRPr="00AD00F6">
        <w:rPr>
          <w:rFonts w:ascii="Garamond" w:eastAsia="Times New Roman" w:hAnsi="Garamond" w:cs="Arial"/>
          <w:sz w:val="20"/>
          <w:szCs w:val="20"/>
          <w:highlight w:val="yellow"/>
        </w:rPr>
        <w:t>NÍ DODAVATEL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 xml:space="preserve">DOPLNÍ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1"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bookmarkEnd w:id="1"/>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A7AA4" w14:textId="77777777" w:rsidR="00A34A10" w:rsidRDefault="00A34A10">
      <w:pPr>
        <w:spacing w:after="0" w:line="240" w:lineRule="auto"/>
      </w:pPr>
      <w:r>
        <w:separator/>
      </w:r>
    </w:p>
  </w:endnote>
  <w:endnote w:type="continuationSeparator" w:id="0">
    <w:p w14:paraId="13BFDB08" w14:textId="77777777" w:rsidR="00A34A10" w:rsidRDefault="00A3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E5207" w14:textId="77777777" w:rsidR="00A34A10" w:rsidRDefault="00A34A10">
      <w:pPr>
        <w:spacing w:after="0" w:line="240" w:lineRule="auto"/>
      </w:pPr>
      <w:r>
        <w:separator/>
      </w:r>
    </w:p>
  </w:footnote>
  <w:footnote w:type="continuationSeparator" w:id="0">
    <w:p w14:paraId="138BA001" w14:textId="77777777" w:rsidR="00A34A10" w:rsidRDefault="00A34A10">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5533C185"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P21V00000</w:t>
    </w:r>
    <w:r w:rsidR="009D35A1" w:rsidRPr="009D35A1">
      <w:rPr>
        <w:rFonts w:ascii="Garamond" w:hAnsi="Garamond" w:cs="Palatino Linotype"/>
        <w:color w:val="000000"/>
      </w:rPr>
      <w:t>3</w:t>
    </w:r>
    <w:r w:rsidR="000336A6">
      <w:rPr>
        <w:rFonts w:ascii="Garamond" w:hAnsi="Garamond" w:cs="Palatino Linotype"/>
        <w:color w:val="000000"/>
      </w:rPr>
      <w:t>95</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l4HiNHaObPcZHAgJAsX1Q+KX+DFqV/ERE1C1ndvr4bx/drl1bdHMQ6H0n814PWUjsB5DHs/9k+YcyUvcsUDJA==" w:salt="xJxvUMYSRtZyMyPWAjun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336A6"/>
    <w:rsid w:val="000509C8"/>
    <w:rsid w:val="00125139"/>
    <w:rsid w:val="001439E5"/>
    <w:rsid w:val="001C2D54"/>
    <w:rsid w:val="001D20CF"/>
    <w:rsid w:val="00200938"/>
    <w:rsid w:val="0037198E"/>
    <w:rsid w:val="00385C1A"/>
    <w:rsid w:val="003F44C3"/>
    <w:rsid w:val="004629C4"/>
    <w:rsid w:val="00564308"/>
    <w:rsid w:val="005B4291"/>
    <w:rsid w:val="005E10BA"/>
    <w:rsid w:val="005F7B42"/>
    <w:rsid w:val="00653F64"/>
    <w:rsid w:val="006873C2"/>
    <w:rsid w:val="006A111D"/>
    <w:rsid w:val="006C472E"/>
    <w:rsid w:val="006D2145"/>
    <w:rsid w:val="007D47B4"/>
    <w:rsid w:val="008701FA"/>
    <w:rsid w:val="00882B4A"/>
    <w:rsid w:val="0092130D"/>
    <w:rsid w:val="009B13BE"/>
    <w:rsid w:val="009D229C"/>
    <w:rsid w:val="009D35A1"/>
    <w:rsid w:val="00A24FD0"/>
    <w:rsid w:val="00A34A10"/>
    <w:rsid w:val="00A40D8B"/>
    <w:rsid w:val="00A608CD"/>
    <w:rsid w:val="00A70C8D"/>
    <w:rsid w:val="00A853F9"/>
    <w:rsid w:val="00AD00F6"/>
    <w:rsid w:val="00B353C1"/>
    <w:rsid w:val="00B71B59"/>
    <w:rsid w:val="00BB6F7F"/>
    <w:rsid w:val="00BE6907"/>
    <w:rsid w:val="00D52AF8"/>
    <w:rsid w:val="00D95710"/>
    <w:rsid w:val="00DE6F4A"/>
    <w:rsid w:val="00E54CB2"/>
    <w:rsid w:val="00E64E0A"/>
    <w:rsid w:val="00E95742"/>
    <w:rsid w:val="00F23396"/>
    <w:rsid w:val="00F82318"/>
    <w:rsid w:val="00F875BA"/>
    <w:rsid w:val="00F87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15</cp:revision>
  <dcterms:created xsi:type="dcterms:W3CDTF">2021-05-19T10:02:00Z</dcterms:created>
  <dcterms:modified xsi:type="dcterms:W3CDTF">2021-09-17T11:53:00Z</dcterms:modified>
</cp:coreProperties>
</file>